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4702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Министерсво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общеобразовательное учреждение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Горекинская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Харин Роман Васильевич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4795333)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Горека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6470289" w:id="5"/>
    <w:p>
      <w:pPr>
        <w:sectPr>
          <w:pgSz w:w="11906" w:h="16383" w:orient="portrait"/>
        </w:sectPr>
      </w:pPr>
    </w:p>
    <w:bookmarkEnd w:id="5"/>
    <w:bookmarkEnd w:id="0"/>
    <w:bookmarkStart w:name="block-3647029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36470290" w:id="8"/>
    <w:p>
      <w:pPr>
        <w:sectPr>
          <w:pgSz w:w="11906" w:h="16383" w:orient="portrait"/>
        </w:sectPr>
      </w:pPr>
    </w:p>
    <w:bookmarkEnd w:id="8"/>
    <w:bookmarkEnd w:id="6"/>
    <w:bookmarkStart w:name="block-36470292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36470292" w:id="12"/>
    <w:p>
      <w:pPr>
        <w:sectPr>
          <w:pgSz w:w="11906" w:h="16383" w:orient="portrait"/>
        </w:sectPr>
      </w:pPr>
    </w:p>
    <w:bookmarkEnd w:id="12"/>
    <w:bookmarkEnd w:id="9"/>
    <w:bookmarkStart w:name="block-36470293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36470293" w:id="16"/>
    <w:p>
      <w:pPr>
        <w:sectPr>
          <w:pgSz w:w="11906" w:h="16383" w:orient="portrait"/>
        </w:sectPr>
      </w:pPr>
    </w:p>
    <w:bookmarkEnd w:id="16"/>
    <w:bookmarkEnd w:id="13"/>
    <w:bookmarkStart w:name="block-3647028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470287" w:id="18"/>
    <w:p>
      <w:pPr>
        <w:sectPr>
          <w:pgSz w:w="16383" w:h="11906" w:orient="landscape"/>
        </w:sectPr>
      </w:pPr>
    </w:p>
    <w:bookmarkEnd w:id="18"/>
    <w:bookmarkEnd w:id="17"/>
    <w:bookmarkStart w:name="block-3647028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470288" w:id="20"/>
    <w:p>
      <w:pPr>
        <w:sectPr>
          <w:pgSz w:w="16383" w:h="11906" w:orient="landscape"/>
        </w:sectPr>
      </w:pPr>
    </w:p>
    <w:bookmarkEnd w:id="20"/>
    <w:bookmarkEnd w:id="19"/>
    <w:bookmarkStart w:name="block-3647029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Неменского Б.М.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https://infourok.ru/</w:t>
      </w:r>
      <w:bookmarkEnd w:id="25"/>
    </w:p>
    <w:bookmarkStart w:name="block-36470291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